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widowControl w:val="0"/>
        <w:tabs>
          <w:tab w:val="right" w:pos="9026"/>
        </w:tabs>
        <w:autoSpaceDE w:val="0"/>
        <w:autoSpaceDN w:val="0"/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</w:t>
      </w:r>
    </w:p>
    <w:p>
      <w:pPr>
        <w:spacing w:before="120" w:after="120" w:line="240" w:lineRule="auto"/>
        <w:jc w:val="both"/>
        <w:rPr>
          <w:rFonts w:ascii="Arial" w:hAnsi="Arial"/>
          <w:sz w:val="20"/>
        </w:rPr>
      </w:pPr>
    </w:p>
    <w:p>
      <w:pPr>
        <w:widowControl w:val="0"/>
        <w:tabs>
          <w:tab w:val="right" w:pos="9026"/>
        </w:tabs>
        <w:autoSpaceDE w:val="0"/>
        <w:autoSpaceDN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Marianne" w:hAnsi="Marianne" w:cs="DejaVu Sans"/>
          <w:b/>
          <w:bCs/>
          <w:noProof/>
          <w:color w:val="1F497D"/>
        </w:rPr>
        <w:drawing>
          <wp:inline distT="0" distB="0" distL="0" distR="0">
            <wp:extent cx="2171700" cy="866775"/>
            <wp:effectExtent l="0" t="0" r="0" b="9525"/>
            <wp:docPr id="2" name="Image 2" descr="202005_S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202005_SG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120" w:after="120" w:line="240" w:lineRule="auto"/>
        <w:jc w:val="both"/>
        <w:rPr>
          <w:rFonts w:ascii="Arial" w:hAnsi="Arial"/>
          <w:sz w:val="20"/>
          <w:lang w:eastAsia="fr-FR"/>
        </w:rPr>
      </w:pPr>
    </w:p>
    <w:p>
      <w:pPr>
        <w:spacing w:before="120" w:after="120" w:line="240" w:lineRule="auto"/>
        <w:jc w:val="both"/>
        <w:rPr>
          <w:rFonts w:ascii="Arial" w:hAnsi="Arial"/>
          <w:sz w:val="20"/>
          <w:lang w:eastAsia="fr-FR"/>
        </w:rPr>
      </w:pPr>
    </w:p>
    <w:p>
      <w:pPr>
        <w:spacing w:before="120" w:after="120" w:line="240" w:lineRule="auto"/>
        <w:jc w:val="both"/>
        <w:rPr>
          <w:rFonts w:ascii="Arial" w:hAnsi="Arial"/>
          <w:sz w:val="20"/>
          <w:lang w:eastAsia="fr-FR"/>
        </w:rPr>
      </w:pPr>
    </w:p>
    <w:p>
      <w:pPr>
        <w:spacing w:before="57" w:after="0" w:line="240" w:lineRule="auto"/>
        <w:jc w:val="both"/>
        <w:rPr>
          <w:rFonts w:ascii="Arial" w:hAnsi="Arial"/>
          <w:b/>
          <w:sz w:val="20"/>
          <w:szCs w:val="20"/>
          <w:lang w:eastAsia="fr-FR"/>
        </w:rPr>
      </w:pPr>
    </w:p>
    <w:p>
      <w:pPr>
        <w:spacing w:after="0" w:line="240" w:lineRule="auto"/>
        <w:jc w:val="center"/>
        <w:rPr>
          <w:rFonts w:ascii="Arial" w:hAnsi="Arial"/>
          <w:b/>
          <w:sz w:val="20"/>
          <w:lang w:eastAsia="fr-FR"/>
        </w:rPr>
      </w:pPr>
      <w:r>
        <w:rPr>
          <w:rFonts w:ascii="Arial" w:hAnsi="Arial"/>
          <w:b/>
          <w:sz w:val="20"/>
          <w:lang w:eastAsia="fr-FR"/>
        </w:rPr>
        <w:t>SECRETARIAT GENERAL</w:t>
      </w:r>
    </w:p>
    <w:p>
      <w:pPr>
        <w:spacing w:after="0" w:line="240" w:lineRule="auto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 xml:space="preserve">Service des achats et des finances </w:t>
      </w:r>
    </w:p>
    <w:p>
      <w:pPr>
        <w:spacing w:after="0" w:line="240" w:lineRule="auto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Sous-direction de la gestion financière et des achats</w:t>
      </w:r>
    </w:p>
    <w:p>
      <w:pPr>
        <w:spacing w:after="0" w:line="240" w:lineRule="auto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 xml:space="preserve">Bureau </w:t>
      </w:r>
      <w:bookmarkStart w:id="0" w:name="Bur"/>
      <w:bookmarkEnd w:id="0"/>
      <w:r>
        <w:rPr>
          <w:rFonts w:ascii="Arial" w:hAnsi="Arial"/>
          <w:b/>
          <w:sz w:val="20"/>
        </w:rPr>
        <w:t>des achats mutualisés d’administration centrale</w:t>
      </w:r>
    </w:p>
    <w:p>
      <w:pPr>
        <w:spacing w:after="0" w:line="240" w:lineRule="auto"/>
        <w:jc w:val="center"/>
        <w:rPr>
          <w:rFonts w:ascii="Arial" w:hAnsi="Arial"/>
          <w:b/>
          <w:sz w:val="20"/>
          <w:lang w:eastAsia="fr-FR"/>
        </w:rPr>
      </w:pPr>
      <w:r>
        <w:rPr>
          <w:rFonts w:ascii="Arial" w:hAnsi="Arial"/>
          <w:b/>
          <w:sz w:val="20"/>
          <w:lang w:eastAsia="fr-FR"/>
        </w:rPr>
        <w:t>139 rue de Bercy – Paris 12</w:t>
      </w:r>
      <w:r>
        <w:rPr>
          <w:rFonts w:ascii="Arial" w:hAnsi="Arial"/>
          <w:b/>
          <w:sz w:val="20"/>
          <w:vertAlign w:val="superscript"/>
          <w:lang w:eastAsia="fr-FR"/>
        </w:rPr>
        <w:t>ème</w:t>
      </w:r>
    </w:p>
    <w:p>
      <w:pPr>
        <w:spacing w:before="57" w:after="0" w:line="240" w:lineRule="auto"/>
        <w:jc w:val="both"/>
        <w:rPr>
          <w:rFonts w:ascii="Arial" w:hAnsi="Arial"/>
          <w:b/>
          <w:sz w:val="20"/>
          <w:szCs w:val="20"/>
          <w:lang w:eastAsia="fr-FR"/>
        </w:rPr>
      </w:pPr>
    </w:p>
    <w:p>
      <w:pPr>
        <w:spacing w:before="57" w:after="0" w:line="240" w:lineRule="auto"/>
        <w:jc w:val="both"/>
        <w:rPr>
          <w:rFonts w:ascii="Arial" w:hAnsi="Arial"/>
          <w:b/>
          <w:sz w:val="20"/>
          <w:szCs w:val="20"/>
          <w:lang w:eastAsia="fr-FR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fr-FR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b/>
          <w:sz w:val="28"/>
          <w:szCs w:val="28"/>
          <w:lang w:eastAsia="fr-FR"/>
        </w:rPr>
        <w:t xml:space="preserve">Fourniture et livraison de denrées alimentaires pour l’Hôtel des ministres, le restaurant de direction </w:t>
      </w:r>
      <w:bookmarkStart w:id="1" w:name="_Hlk222473790"/>
      <w:r>
        <w:rPr>
          <w:rFonts w:ascii="Arial" w:eastAsia="Times New Roman" w:hAnsi="Arial" w:cs="Arial"/>
          <w:b/>
          <w:sz w:val="28"/>
          <w:szCs w:val="28"/>
          <w:lang w:eastAsia="fr-FR"/>
        </w:rPr>
        <w:t>Le Cercle et le centre de conférences Pierre Mendès France</w:t>
      </w:r>
      <w:bookmarkEnd w:id="1"/>
      <w:r>
        <w:rPr>
          <w:rFonts w:ascii="Arial" w:eastAsia="Times New Roman" w:hAnsi="Arial" w:cs="Arial"/>
          <w:b/>
          <w:sz w:val="28"/>
          <w:szCs w:val="28"/>
          <w:lang w:eastAsia="fr-FR"/>
        </w:rPr>
        <w:t xml:space="preserve"> des ministères économiques et financiers (MEF)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</w:p>
    <w:p>
      <w:pPr>
        <w:rPr>
          <w:rFonts w:ascii="Arial" w:hAnsi="Arial" w:cs="Arial"/>
          <w:sz w:val="20"/>
          <w:szCs w:val="20"/>
        </w:rPr>
      </w:pPr>
    </w:p>
    <w:p>
      <w:pPr>
        <w:rPr>
          <w:rFonts w:ascii="Arial" w:hAnsi="Arial" w:cs="Arial"/>
          <w:sz w:val="20"/>
          <w:szCs w:val="20"/>
        </w:rPr>
      </w:pPr>
    </w:p>
    <w:p>
      <w:pPr>
        <w:rPr>
          <w:rFonts w:ascii="Arial" w:hAnsi="Arial" w:cs="Arial"/>
          <w:sz w:val="20"/>
          <w:szCs w:val="20"/>
        </w:rPr>
      </w:pPr>
    </w:p>
    <w:p>
      <w:pPr>
        <w:spacing w:after="12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MEMOIRE TECHNIQUE – CADRE DE REPONSE</w:t>
      </w:r>
    </w:p>
    <w:p>
      <w:pPr>
        <w:spacing w:after="120"/>
        <w:jc w:val="center"/>
        <w:rPr>
          <w:rFonts w:ascii="Arial" w:hAnsi="Arial" w:cs="Arial"/>
          <w:b/>
          <w:sz w:val="28"/>
          <w:szCs w:val="28"/>
        </w:rPr>
      </w:pPr>
    </w:p>
    <w:p>
      <w:pPr>
        <w:spacing w:after="120"/>
        <w:jc w:val="center"/>
        <w:rPr>
          <w:rFonts w:ascii="Arial" w:hAnsi="Arial" w:cs="Arial"/>
          <w:b/>
          <w:color w:val="0070C0"/>
          <w:sz w:val="28"/>
          <w:szCs w:val="28"/>
          <w:u w:val="single"/>
        </w:rPr>
      </w:pPr>
      <w:r>
        <w:rPr>
          <w:rFonts w:ascii="Arial" w:hAnsi="Arial" w:cs="Arial"/>
          <w:b/>
          <w:color w:val="0070C0"/>
          <w:sz w:val="28"/>
          <w:szCs w:val="28"/>
          <w:u w:val="single"/>
        </w:rPr>
        <w:t>LOT 2 - VOLAILLE</w:t>
      </w:r>
    </w:p>
    <w:p>
      <w:pPr>
        <w:spacing w:after="120"/>
        <w:jc w:val="center"/>
        <w:rPr>
          <w:rFonts w:ascii="Arial" w:hAnsi="Arial" w:cs="Arial"/>
          <w:i/>
          <w:iCs/>
          <w:color w:val="002060"/>
          <w:sz w:val="20"/>
          <w:szCs w:val="20"/>
        </w:rPr>
      </w:pPr>
    </w:p>
    <w:p>
      <w:pPr>
        <w:jc w:val="center"/>
        <w:rPr>
          <w:rFonts w:ascii="Arial" w:hAnsi="Arial" w:cs="Arial"/>
          <w:i/>
          <w:iCs/>
          <w:color w:val="0000FF"/>
          <w:sz w:val="28"/>
          <w:szCs w:val="28"/>
        </w:rPr>
      </w:pPr>
    </w:p>
    <w:p>
      <w:pPr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Le présent document doit être obligatoirement rempli</w:t>
      </w:r>
      <w:r>
        <w:rPr>
          <w:rFonts w:ascii="Arial" w:hAnsi="Arial" w:cs="Arial"/>
          <w:b/>
          <w:bCs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et ne pas dépasser 10 pages hors annexes.</w:t>
      </w:r>
    </w:p>
    <w:p>
      <w:pPr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Les annexes ne doivent pas dépasser 20 pages.</w:t>
      </w:r>
    </w:p>
    <w:p>
      <w:pPr>
        <w:jc w:val="center"/>
        <w:rPr>
          <w:rFonts w:ascii="Arial" w:hAnsi="Arial" w:cs="Arial"/>
          <w:i/>
          <w:iCs/>
          <w:color w:val="0000FF"/>
          <w:sz w:val="28"/>
          <w:szCs w:val="28"/>
        </w:rPr>
      </w:pPr>
    </w:p>
    <w:p>
      <w:pPr>
        <w:jc w:val="center"/>
        <w:rPr>
          <w:rFonts w:ascii="Arial" w:hAnsi="Arial" w:cs="Arial"/>
          <w:i/>
          <w:iCs/>
          <w:color w:val="0000FF"/>
          <w:sz w:val="28"/>
          <w:szCs w:val="28"/>
        </w:rPr>
      </w:pPr>
    </w:p>
    <w:p>
      <w:pPr>
        <w:spacing w:before="57" w:after="0" w:line="240" w:lineRule="auto"/>
        <w:jc w:val="both"/>
        <w:rPr>
          <w:rFonts w:ascii="Arial" w:eastAsia="Times New Roman" w:hAnsi="Arial" w:cs="Arial"/>
          <w:sz w:val="18"/>
          <w:szCs w:val="18"/>
          <w:lang w:eastAsia="fr-FR"/>
        </w:rPr>
      </w:pPr>
    </w:p>
    <w:p>
      <w:pPr>
        <w:spacing w:before="57" w:after="0" w:line="240" w:lineRule="auto"/>
        <w:jc w:val="both"/>
        <w:rPr>
          <w:rFonts w:ascii="Arial" w:eastAsia="Times New Roman" w:hAnsi="Arial" w:cs="Arial"/>
          <w:sz w:val="18"/>
          <w:szCs w:val="18"/>
          <w:lang w:eastAsia="fr-FR"/>
        </w:rPr>
      </w:pPr>
    </w:p>
    <w:p>
      <w:pPr>
        <w:spacing w:before="57" w:after="0" w:line="240" w:lineRule="auto"/>
        <w:jc w:val="both"/>
        <w:rPr>
          <w:rFonts w:ascii="Arial" w:eastAsia="Times New Roman" w:hAnsi="Arial" w:cs="Arial"/>
          <w:sz w:val="18"/>
          <w:szCs w:val="18"/>
          <w:lang w:eastAsia="fr-FR"/>
        </w:rPr>
      </w:pPr>
    </w:p>
    <w:p>
      <w:pPr>
        <w:spacing w:before="57" w:after="0" w:line="240" w:lineRule="auto"/>
        <w:jc w:val="both"/>
        <w:rPr>
          <w:rFonts w:ascii="Arial" w:eastAsia="Times New Roman" w:hAnsi="Arial" w:cs="Arial"/>
          <w:sz w:val="18"/>
          <w:szCs w:val="18"/>
          <w:lang w:eastAsia="fr-FR"/>
        </w:rPr>
      </w:pPr>
      <w:r>
        <w:rPr>
          <w:rFonts w:ascii="Arial" w:eastAsia="Times New Roman" w:hAnsi="Arial" w:cs="Arial"/>
          <w:sz w:val="18"/>
          <w:szCs w:val="18"/>
          <w:lang w:eastAsia="fr-FR"/>
        </w:rPr>
        <w:t>Numéro de consultation : BAMAC-2026-352-alimentaire</w:t>
      </w:r>
    </w:p>
    <w:p>
      <w:pPr>
        <w:spacing w:before="120" w:after="120" w:line="240" w:lineRule="auto"/>
        <w:jc w:val="both"/>
        <w:rPr>
          <w:rFonts w:ascii="Arial" w:hAnsi="Arial"/>
          <w:sz w:val="18"/>
          <w:szCs w:val="18"/>
          <w:lang w:eastAsia="fr-FR"/>
        </w:rPr>
      </w:pPr>
      <w:r>
        <w:rPr>
          <w:rFonts w:ascii="Arial" w:hAnsi="Arial"/>
          <w:sz w:val="18"/>
          <w:szCs w:val="18"/>
          <w:lang w:eastAsia="fr-FR"/>
        </w:rPr>
        <w:t>Procédure de passation : Appel d’offres ouvert</w:t>
      </w:r>
    </w:p>
    <w:p>
      <w:pPr>
        <w:pStyle w:val="Standarduser"/>
        <w:spacing w:after="0"/>
        <w:rPr>
          <w:rFonts w:ascii="Arial" w:hAnsi="Arial" w:cs="Arial"/>
          <w:b/>
          <w:sz w:val="20"/>
          <w:szCs w:val="20"/>
        </w:rPr>
      </w:pPr>
    </w:p>
    <w:p>
      <w:pPr>
        <w:pStyle w:val="Standarduser"/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Identification de l’entreprise </w:t>
      </w:r>
      <w:r>
        <w:rPr>
          <w:rFonts w:ascii="Arial" w:hAnsi="Arial" w:cs="Arial"/>
          <w:bCs/>
          <w:i/>
          <w:iCs/>
          <w:sz w:val="18"/>
          <w:szCs w:val="18"/>
        </w:rPr>
        <w:t>(nom du soumissionnaire obligatoire)</w:t>
      </w:r>
      <w:r>
        <w:rPr>
          <w:rFonts w:ascii="Arial" w:hAnsi="Arial" w:cs="Arial"/>
          <w:b/>
          <w:sz w:val="20"/>
          <w:szCs w:val="20"/>
        </w:rPr>
        <w:t xml:space="preserve"> : </w:t>
      </w:r>
      <w:r>
        <w:rPr>
          <w:rFonts w:ascii="Arial" w:hAnsi="Arial" w:cs="Arial"/>
          <w:sz w:val="20"/>
          <w:szCs w:val="20"/>
        </w:rPr>
        <w:t xml:space="preserve"> </w:t>
      </w:r>
    </w:p>
    <w:p>
      <w:pPr>
        <w:pStyle w:val="Standarduser"/>
        <w:spacing w:after="0"/>
        <w:rPr>
          <w:rFonts w:ascii="Arial" w:eastAsia="Segoe UI" w:hAnsi="Arial" w:cs="Arial"/>
          <w:sz w:val="20"/>
          <w:szCs w:val="20"/>
          <w:lang w:eastAsia="fr-FR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</w:t>
      </w:r>
    </w:p>
    <w:p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Adresse courriel à indiquer </w:t>
      </w:r>
      <w:r>
        <w:rPr>
          <w:rFonts w:ascii="Arial" w:hAnsi="Arial" w:cs="Arial"/>
          <w:bCs/>
          <w:i/>
          <w:iCs/>
          <w:sz w:val="18"/>
          <w:szCs w:val="18"/>
        </w:rPr>
        <w:t>(obligatoire)</w:t>
      </w:r>
      <w:r>
        <w:rPr>
          <w:rFonts w:ascii="Arial" w:hAnsi="Arial" w:cs="Arial"/>
          <w:b/>
          <w:sz w:val="20"/>
          <w:szCs w:val="20"/>
        </w:rPr>
        <w:t xml:space="preserve"> :</w:t>
      </w:r>
    </w:p>
    <w:p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>
      <w:pPr>
        <w:spacing w:before="120" w:after="120"/>
        <w:jc w:val="both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  <w:u w:val="single"/>
        </w:rPr>
        <w:t>Pour information</w:t>
      </w:r>
      <w:r>
        <w:rPr>
          <w:rFonts w:ascii="Arial" w:hAnsi="Arial" w:cs="Arial"/>
          <w:b/>
          <w:bCs/>
          <w:iCs/>
        </w:rPr>
        <w:t xml:space="preserve"> : </w:t>
      </w:r>
    </w:p>
    <w:p>
      <w:pPr>
        <w:spacing w:after="0"/>
        <w:jc w:val="both"/>
        <w:rPr>
          <w:rFonts w:ascii="Arial" w:hAnsi="Arial" w:cs="Arial"/>
          <w:iCs/>
        </w:rPr>
      </w:pPr>
      <w:r>
        <w:rPr>
          <w:rFonts w:ascii="Arial" w:hAnsi="Arial" w:cs="Arial"/>
          <w:b/>
          <w:bCs/>
          <w:iCs/>
        </w:rPr>
        <w:t>- Critère n°1 : Prix</w:t>
      </w:r>
      <w:r>
        <w:rPr>
          <w:rFonts w:ascii="Arial" w:hAnsi="Arial" w:cs="Arial"/>
          <w:iCs/>
        </w:rPr>
        <w:t xml:space="preserve"> (35%)</w:t>
      </w:r>
    </w:p>
    <w:p>
      <w:pPr>
        <w:spacing w:after="0"/>
        <w:jc w:val="both"/>
        <w:rPr>
          <w:rFonts w:ascii="Arial" w:hAnsi="Arial" w:cs="Arial"/>
          <w:b/>
          <w:bCs/>
          <w:i/>
        </w:rPr>
      </w:pPr>
      <w:r>
        <w:rPr>
          <w:rFonts w:ascii="Arial" w:hAnsi="Arial" w:cs="Arial"/>
          <w:i/>
        </w:rPr>
        <w:t xml:space="preserve">Les prix sont jugés à partir d’une simulation de commande </w:t>
      </w:r>
      <w:r>
        <w:rPr>
          <w:rFonts w:ascii="Arial" w:hAnsi="Arial" w:cs="Arial"/>
          <w:b/>
          <w:bCs/>
          <w:i/>
        </w:rPr>
        <w:t>(cf. panier-type de commande).</w:t>
      </w:r>
    </w:p>
    <w:p>
      <w:pPr>
        <w:spacing w:after="0"/>
        <w:jc w:val="both"/>
        <w:rPr>
          <w:rFonts w:ascii="Arial" w:hAnsi="Arial" w:cs="Arial"/>
          <w:b/>
          <w:bCs/>
          <w:i/>
        </w:rPr>
      </w:pPr>
    </w:p>
    <w:p>
      <w:pPr>
        <w:spacing w:after="0"/>
        <w:jc w:val="both"/>
        <w:rPr>
          <w:rFonts w:ascii="Arial" w:hAnsi="Arial" w:cs="Arial"/>
          <w:iCs/>
        </w:rPr>
      </w:pPr>
      <w:r>
        <w:rPr>
          <w:rFonts w:ascii="Arial" w:hAnsi="Arial" w:cs="Arial"/>
          <w:b/>
          <w:bCs/>
          <w:iCs/>
        </w:rPr>
        <w:t xml:space="preserve">- Critère n°2 : Qualité des échantillons </w:t>
      </w:r>
      <w:r>
        <w:rPr>
          <w:rFonts w:ascii="Arial" w:hAnsi="Arial" w:cs="Arial"/>
          <w:iCs/>
        </w:rPr>
        <w:t>(35%)</w:t>
      </w:r>
    </w:p>
    <w:p>
      <w:pPr>
        <w:spacing w:after="0"/>
        <w:jc w:val="both"/>
        <w:rPr>
          <w:rFonts w:ascii="Arial" w:hAnsi="Arial" w:cs="Arial"/>
          <w:b/>
          <w:bCs/>
          <w:i/>
        </w:rPr>
      </w:pPr>
      <w:r>
        <w:rPr>
          <w:rFonts w:ascii="Arial" w:hAnsi="Arial" w:cs="Arial"/>
          <w:i/>
        </w:rPr>
        <w:t>La qualité des échantillons est testée par un jury.</w:t>
      </w:r>
    </w:p>
    <w:p>
      <w:pPr>
        <w:spacing w:before="120" w:after="120"/>
        <w:jc w:val="both"/>
        <w:rPr>
          <w:rFonts w:ascii="Arial" w:hAnsi="Arial" w:cs="Arial"/>
          <w:b/>
          <w:bCs/>
          <w:iCs/>
          <w:u w:val="single"/>
        </w:rPr>
      </w:pPr>
    </w:p>
    <w:p>
      <w:pPr>
        <w:spacing w:before="120" w:after="120"/>
        <w:jc w:val="both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  <w:u w:val="single"/>
        </w:rPr>
        <w:t>A compléter par le candidat</w:t>
      </w:r>
      <w:r>
        <w:rPr>
          <w:rFonts w:ascii="Arial" w:hAnsi="Arial" w:cs="Arial"/>
          <w:b/>
          <w:bCs/>
          <w:iCs/>
        </w:rPr>
        <w:t xml:space="preserve"> : </w:t>
      </w:r>
    </w:p>
    <w:p>
      <w:pPr>
        <w:spacing w:before="120" w:after="120"/>
        <w:jc w:val="both"/>
        <w:rPr>
          <w:rFonts w:ascii="Arial" w:hAnsi="Arial" w:cs="Arial"/>
          <w:iCs/>
        </w:rPr>
      </w:pPr>
      <w:r>
        <w:rPr>
          <w:rFonts w:ascii="Arial" w:hAnsi="Arial" w:cs="Arial"/>
          <w:b/>
          <w:bCs/>
          <w:iCs/>
        </w:rPr>
        <w:t xml:space="preserve">- critères n°3 </w:t>
      </w:r>
      <w:r>
        <w:rPr>
          <w:rFonts w:ascii="Arial" w:hAnsi="Arial" w:cs="Arial"/>
          <w:iCs/>
        </w:rPr>
        <w:t>(15%)</w:t>
      </w:r>
      <w:r>
        <w:rPr>
          <w:rFonts w:ascii="Arial" w:hAnsi="Arial" w:cs="Arial"/>
          <w:b/>
          <w:bCs/>
          <w:iCs/>
        </w:rPr>
        <w:t xml:space="preserve"> et n°4 </w:t>
      </w:r>
      <w:r>
        <w:rPr>
          <w:rFonts w:ascii="Arial" w:hAnsi="Arial" w:cs="Arial"/>
          <w:iCs/>
        </w:rPr>
        <w:t>(15%)</w:t>
      </w:r>
      <w:r>
        <w:rPr>
          <w:rFonts w:ascii="Arial" w:hAnsi="Arial" w:cs="Arial"/>
          <w:b/>
          <w:bCs/>
          <w:iCs/>
        </w:rPr>
        <w:t xml:space="preserve"> : </w:t>
      </w:r>
      <w:r>
        <w:rPr>
          <w:rFonts w:ascii="Arial" w:hAnsi="Arial" w:cs="Arial"/>
          <w:i/>
        </w:rPr>
        <w:t>voir ci-après.</w:t>
      </w:r>
    </w:p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p>
      <w:pPr>
        <w:spacing w:after="0"/>
        <w:jc w:val="both"/>
        <w:rPr>
          <w:rFonts w:ascii="Arial" w:hAnsi="Arial" w:cs="Arial"/>
          <w:b/>
          <w:bCs/>
          <w:iCs/>
        </w:rPr>
      </w:pPr>
    </w:p>
    <w:p>
      <w:pPr>
        <w:spacing w:after="0"/>
        <w:jc w:val="both"/>
        <w:rPr>
          <w:rFonts w:ascii="Arial" w:hAnsi="Arial" w:cs="Arial"/>
          <w:b/>
          <w:bCs/>
          <w:iCs/>
        </w:rPr>
      </w:pPr>
    </w:p>
    <w:p>
      <w:pPr>
        <w:spacing w:after="0"/>
        <w:jc w:val="center"/>
        <w:rPr>
          <w:rFonts w:ascii="Arial" w:hAnsi="Arial" w:cs="Arial"/>
          <w:b/>
          <w:bCs/>
          <w:iCs/>
          <w:color w:val="0070C0"/>
          <w:sz w:val="24"/>
          <w:szCs w:val="24"/>
        </w:rPr>
      </w:pPr>
      <w:r>
        <w:rPr>
          <w:rFonts w:ascii="Arial" w:hAnsi="Arial" w:cs="Arial"/>
          <w:b/>
          <w:bCs/>
          <w:iCs/>
          <w:color w:val="0070C0"/>
          <w:sz w:val="24"/>
          <w:szCs w:val="24"/>
        </w:rPr>
        <w:t xml:space="preserve">Critère n°3 : Modalités d’organisation et de suivi des prestations </w:t>
      </w:r>
    </w:p>
    <w:p>
      <w:pPr>
        <w:spacing w:after="0"/>
        <w:jc w:val="center"/>
        <w:rPr>
          <w:rFonts w:ascii="Arial" w:hAnsi="Arial" w:cs="Arial"/>
          <w:b/>
          <w:bCs/>
          <w:iCs/>
          <w:color w:val="0070C0"/>
          <w:sz w:val="24"/>
          <w:szCs w:val="24"/>
        </w:rPr>
      </w:pPr>
      <w:r>
        <w:rPr>
          <w:rFonts w:ascii="Arial" w:hAnsi="Arial" w:cs="Arial"/>
          <w:b/>
          <w:bCs/>
          <w:iCs/>
          <w:color w:val="0070C0"/>
          <w:sz w:val="24"/>
          <w:szCs w:val="24"/>
        </w:rPr>
        <w:t>mis en œuvre dans le cadre de l’exécution du marché</w:t>
      </w:r>
    </w:p>
    <w:p>
      <w:pPr>
        <w:spacing w:after="0"/>
        <w:jc w:val="both"/>
        <w:rPr>
          <w:rFonts w:ascii="Arial" w:eastAsia="Times New Roman" w:hAnsi="Arial" w:cs="Arial"/>
          <w:b/>
          <w:sz w:val="24"/>
          <w:szCs w:val="24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b/>
                <w:bCs/>
              </w:rPr>
            </w:pPr>
            <w:bookmarkStart w:id="2" w:name="_Hlk190097711"/>
            <w:r>
              <w:rPr>
                <w:rFonts w:ascii="Arial" w:eastAsia="Times New Roman" w:hAnsi="Arial" w:cs="Arial"/>
                <w:b/>
              </w:rPr>
              <w:t>Description des modalités de prise de commande</w:t>
            </w:r>
            <w:r>
              <w:rPr>
                <w:rFonts w:ascii="Arial" w:eastAsia="Times New Roman" w:hAnsi="Arial" w:cs="Arial"/>
                <w:b/>
                <w:bCs/>
              </w:rPr>
              <w:t xml:space="preserve"> mises en place par le candidat :</w:t>
            </w:r>
          </w:p>
          <w:p>
            <w:pPr>
              <w:spacing w:before="120" w:after="120"/>
              <w:rPr>
                <w:rFonts w:ascii="Arial" w:eastAsia="Times New Roman" w:hAnsi="Arial" w:cs="Arial"/>
                <w:iCs/>
              </w:rPr>
            </w:pPr>
            <w:r>
              <w:rPr>
                <w:rFonts w:ascii="Arial" w:eastAsia="Times New Roman" w:hAnsi="Arial" w:cs="Arial"/>
                <w:iCs/>
              </w:rPr>
              <w:t>- prise de commande par téléphone, par mail, via un site, ou une application,</w:t>
            </w:r>
          </w:p>
          <w:p>
            <w:pPr>
              <w:spacing w:before="120" w:after="120"/>
              <w:rPr>
                <w:rFonts w:ascii="Arial" w:eastAsia="Times New Roman" w:hAnsi="Arial" w:cs="Arial"/>
                <w:iCs/>
              </w:rPr>
            </w:pPr>
            <w:r>
              <w:rPr>
                <w:rFonts w:ascii="Arial" w:eastAsia="Times New Roman" w:hAnsi="Arial" w:cs="Arial"/>
                <w:iCs/>
              </w:rPr>
              <w:t>- jours de la semaine et créneaux horaires pour passer les commandes.</w:t>
            </w: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70C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  <w:r>
              <w:rPr>
                <w:rFonts w:ascii="Arial" w:eastAsia="Times New Roman" w:hAnsi="Arial" w:cs="Arial"/>
                <w:color w:val="0070C0"/>
              </w:rPr>
              <w:t xml:space="preserve"> 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70C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</w:rPr>
            </w:pPr>
          </w:p>
        </w:tc>
      </w:tr>
      <w:bookmarkEnd w:id="2"/>
    </w:tbl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 xml:space="preserve">Description des matériels utilisés par le candidat :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- nombre de véhicules utilisés,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- dimensions et tonnages des véhicules, </w:t>
            </w: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  <w:r>
              <w:rPr>
                <w:rFonts w:ascii="Arial" w:eastAsia="Times New Roman" w:hAnsi="Arial" w:cs="Arial"/>
              </w:rPr>
              <w:t>- indication par le candidat s’il fait appel à un transporteur ou aux chauffeurs-livreurs de l’entreprise.</w:t>
            </w: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</w:p>
        </w:tc>
      </w:tr>
    </w:tbl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</w:rPr>
            </w:pPr>
            <w:bookmarkStart w:id="3" w:name="_Hlk218062702"/>
            <w:r>
              <w:rPr>
                <w:rFonts w:ascii="Arial" w:eastAsia="Times New Roman" w:hAnsi="Arial" w:cs="Arial"/>
                <w:b/>
                <w:bCs/>
              </w:rPr>
              <w:t xml:space="preserve">Description des moyens logistiques utilisés par le candidat :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- modalités de stockage des produits et gestion des stocks,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- gestion des retours,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- gestion des contenants réutilisables par tout moyen permettant d’identifier le fournisseur propriétaire du contenant,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- étiquetage des produits,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- préparation des commandes,</w:t>
            </w: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  <w:r>
              <w:rPr>
                <w:rFonts w:ascii="Arial" w:hAnsi="Arial" w:cs="Arial"/>
                <w:iCs/>
              </w:rPr>
              <w:t>- outils informatiques utilisés.</w:t>
            </w: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</w:p>
        </w:tc>
      </w:tr>
      <w:bookmarkEnd w:id="3"/>
    </w:tbl>
    <w:p>
      <w:pPr>
        <w:spacing w:before="120" w:after="120"/>
        <w:jc w:val="both"/>
        <w:rPr>
          <w:rFonts w:ascii="Arial" w:hAnsi="Arial" w:cs="Arial"/>
          <w:iCs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</w:rPr>
            </w:pPr>
            <w:bookmarkStart w:id="4" w:name="_Hlk216878308"/>
            <w:r>
              <w:rPr>
                <w:rFonts w:ascii="Arial" w:eastAsia="Times New Roman" w:hAnsi="Arial" w:cs="Arial"/>
                <w:b/>
                <w:bCs/>
              </w:rPr>
              <w:t xml:space="preserve">Description des moyens humains de l’entreprise affectés à l’exécution des prestations :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- description des fonctions des personnes dédiées à ce marché,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- nombre de personnes dédiées, </w:t>
            </w: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  <w:r>
              <w:rPr>
                <w:rFonts w:ascii="Arial" w:eastAsia="Times New Roman" w:hAnsi="Arial" w:cs="Arial"/>
              </w:rPr>
              <w:t>- formation suivies.</w:t>
            </w: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</w:p>
        </w:tc>
      </w:tr>
      <w:bookmarkEnd w:id="4"/>
    </w:tbl>
    <w:p>
      <w:pPr>
        <w:spacing w:before="120" w:after="120"/>
        <w:ind w:firstLine="708"/>
        <w:jc w:val="both"/>
        <w:rPr>
          <w:rFonts w:ascii="Arial" w:hAnsi="Arial" w:cs="Arial"/>
          <w:iCs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rPr>
                <w:rFonts w:ascii="Arial" w:hAnsi="Arial" w:cs="Arial"/>
                <w:iCs/>
              </w:rPr>
            </w:pPr>
            <w:r>
              <w:rPr>
                <w:rFonts w:ascii="Arial" w:eastAsia="Times New Roman" w:hAnsi="Arial" w:cs="Arial"/>
                <w:b/>
              </w:rPr>
              <w:t>Description des modalités de facturation</w:t>
            </w:r>
            <w:r>
              <w:rPr>
                <w:rFonts w:ascii="Arial" w:eastAsia="Times New Roman" w:hAnsi="Arial" w:cs="Arial"/>
                <w:b/>
                <w:bCs/>
              </w:rPr>
              <w:t xml:space="preserve"> proposées par le candidat</w:t>
            </w: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</w:p>
        </w:tc>
      </w:tr>
    </w:tbl>
    <w:p>
      <w:pPr>
        <w:spacing w:before="120" w:after="120"/>
        <w:jc w:val="both"/>
        <w:rPr>
          <w:rFonts w:ascii="Arial" w:eastAsia="Times New Roman" w:hAnsi="Arial" w:cs="Arial"/>
          <w:b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</w:rPr>
              <w:t xml:space="preserve">Description relative à la sécurisation des approvisionnements </w:t>
            </w:r>
            <w:r>
              <w:rPr>
                <w:rFonts w:ascii="Arial" w:eastAsia="Times New Roman" w:hAnsi="Arial" w:cs="Arial"/>
                <w:b/>
                <w:bCs/>
              </w:rPr>
              <w:t>proposée par le candidat</w:t>
            </w:r>
          </w:p>
          <w:p>
            <w:pPr>
              <w:spacing w:before="120"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description des mesures de gestion des risques mises en œuvre pour l’exécution du marché en cas de rupture d’approvisionnement ou de pénurie totale ou partielle de matières premières,</w:t>
            </w: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eastAsiaTheme="minorHAnsi" w:hAnsi="Arial" w:cs="Arial"/>
                <w:lang w:eastAsia="en-US"/>
              </w:rPr>
              <w:t>- description de l’organisation mise en place afin de garantir la sécurité et la continuité des approvisionnements en denrées.</w:t>
            </w: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</w:p>
        </w:tc>
      </w:tr>
    </w:tbl>
    <w:p>
      <w:pPr>
        <w:spacing w:after="0"/>
        <w:jc w:val="both"/>
        <w:rPr>
          <w:rFonts w:ascii="Arial" w:eastAsia="Times New Roman" w:hAnsi="Arial" w:cs="Arial"/>
          <w:b/>
        </w:rPr>
      </w:pPr>
    </w:p>
    <w:p>
      <w:pPr>
        <w:spacing w:after="0"/>
        <w:jc w:val="both"/>
        <w:rPr>
          <w:rFonts w:ascii="Arial" w:eastAsia="Times New Roman" w:hAnsi="Arial" w:cs="Arial"/>
          <w:b/>
        </w:rPr>
      </w:pPr>
    </w:p>
    <w:p>
      <w:pPr>
        <w:spacing w:after="0"/>
        <w:jc w:val="both"/>
        <w:rPr>
          <w:rFonts w:ascii="Arial" w:eastAsia="Times New Roman" w:hAnsi="Arial" w:cs="Arial"/>
          <w:b/>
        </w:rPr>
      </w:pPr>
    </w:p>
    <w:p>
      <w:pPr>
        <w:spacing w:after="0"/>
        <w:jc w:val="center"/>
        <w:rPr>
          <w:rFonts w:ascii="Arial" w:eastAsia="Times New Roman" w:hAnsi="Arial" w:cs="Arial"/>
          <w:b/>
          <w:color w:val="0070C0"/>
          <w:sz w:val="24"/>
          <w:szCs w:val="24"/>
        </w:rPr>
      </w:pPr>
      <w:r>
        <w:rPr>
          <w:rFonts w:ascii="Arial" w:eastAsia="Times New Roman" w:hAnsi="Arial" w:cs="Arial"/>
          <w:b/>
          <w:color w:val="0070C0"/>
          <w:sz w:val="24"/>
          <w:szCs w:val="24"/>
        </w:rPr>
        <w:lastRenderedPageBreak/>
        <w:t xml:space="preserve">Critère n°4 - Mesures environnementales mises en œuvre </w:t>
      </w:r>
    </w:p>
    <w:p>
      <w:pPr>
        <w:spacing w:after="0"/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color w:val="0070C0"/>
          <w:sz w:val="24"/>
          <w:szCs w:val="24"/>
        </w:rPr>
        <w:t>dans le cadre de l’exécution du marché</w:t>
      </w:r>
    </w:p>
    <w:p>
      <w:pPr>
        <w:spacing w:after="0"/>
        <w:jc w:val="both"/>
        <w:rPr>
          <w:rFonts w:ascii="Arial" w:eastAsia="Times New Roman" w:hAnsi="Arial" w:cs="Arial"/>
          <w:lang w:eastAsia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jc w:val="both"/>
              <w:rPr>
                <w:rFonts w:ascii="Arial" w:hAnsi="Arial" w:cs="Arial"/>
                <w:b/>
                <w:bCs/>
                <w:iCs/>
              </w:rPr>
            </w:pPr>
            <w:bookmarkStart w:id="5" w:name="_Hlk218001143"/>
            <w:r>
              <w:rPr>
                <w:rFonts w:ascii="Arial" w:hAnsi="Arial" w:cs="Arial"/>
                <w:b/>
                <w:bCs/>
                <w:iCs/>
              </w:rPr>
              <w:t xml:space="preserve">Valorisation du circuit court  </w:t>
            </w:r>
          </w:p>
          <w:p>
            <w:pPr>
              <w:spacing w:before="120" w:after="12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- nombre d’intermédiaire(s) entre le premier metteur en marché (éleveur) et l’acheteur (client final) : 1, 2, 3 et plus ?</w:t>
            </w: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</w:p>
        </w:tc>
      </w:tr>
      <w:bookmarkEnd w:id="5"/>
    </w:tbl>
    <w:p>
      <w:pPr>
        <w:spacing w:before="120" w:after="120"/>
        <w:jc w:val="both"/>
        <w:rPr>
          <w:rFonts w:ascii="Arial" w:eastAsia="Times New Roman" w:hAnsi="Arial" w:cs="Arial"/>
          <w:lang w:eastAsia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jc w:val="both"/>
              <w:rPr>
                <w:rFonts w:ascii="Arial" w:hAnsi="Arial" w:cs="Arial"/>
                <w:b/>
                <w:bCs/>
                <w:iCs/>
              </w:rPr>
            </w:pPr>
            <w:r>
              <w:rPr>
                <w:rFonts w:ascii="Arial" w:hAnsi="Arial" w:cs="Arial"/>
                <w:b/>
                <w:bCs/>
                <w:iCs/>
              </w:rPr>
              <w:t xml:space="preserve">Lutte contre le gaspillage alimentaire </w:t>
            </w:r>
          </w:p>
          <w:p>
            <w:pPr>
              <w:pStyle w:val="Commentaire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- description de la démarche mise en œuvre pour lutter contre le gaspillage (ex : plan de lutte mis en œuvre, partenariat mis en place, résultats atteints, pourcentage de gaspillage, labellisation anti-gaspillage…).</w:t>
            </w:r>
          </w:p>
          <w:p>
            <w:pPr>
              <w:pStyle w:val="Commentaire"/>
              <w:rPr>
                <w:rFonts w:ascii="Arial" w:hAnsi="Arial" w:cs="Arial"/>
                <w:b/>
                <w:bCs/>
                <w:iCs/>
              </w:rPr>
            </w:pP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</w:p>
        </w:tc>
      </w:tr>
    </w:tbl>
    <w:p>
      <w:pPr>
        <w:spacing w:before="120" w:after="120"/>
        <w:rPr>
          <w:rFonts w:ascii="Arial" w:eastAsia="Times New Roman" w:hAnsi="Arial" w:cs="Arial"/>
          <w:lang w:eastAsia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>
        <w:tc>
          <w:tcPr>
            <w:tcW w:w="9736" w:type="dxa"/>
          </w:tcPr>
          <w:p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 xml:space="preserve">Emballage et conditionnement des produits :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- indication si utilisation de matériaux recyclés, </w:t>
            </w:r>
          </w:p>
          <w:p>
            <w:pPr>
              <w:spacing w:before="120" w:after="12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- pratiques mises en œuvre concernant la réduction des emballages,</w:t>
            </w: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eastAsia="Times New Roman" w:hAnsi="Arial" w:cs="Arial"/>
              </w:rPr>
              <w:t>- modalités mises en œuvre dans la récupération des emballages lors de la livraison.</w:t>
            </w:r>
          </w:p>
        </w:tc>
      </w:tr>
      <w:tr>
        <w:tc>
          <w:tcPr>
            <w:tcW w:w="9736" w:type="dxa"/>
          </w:tcPr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  <w:r>
              <w:rPr>
                <w:rFonts w:ascii="Arial" w:eastAsia="Times New Roman" w:hAnsi="Arial" w:cs="Arial"/>
                <w:color w:val="002060"/>
              </w:rPr>
              <w:t>Réponse du candidat :</w:t>
            </w:r>
          </w:p>
          <w:p>
            <w:pPr>
              <w:spacing w:before="120" w:after="120"/>
              <w:rPr>
                <w:rFonts w:ascii="Arial" w:eastAsia="Times New Roman" w:hAnsi="Arial" w:cs="Arial"/>
                <w:color w:val="002060"/>
              </w:rPr>
            </w:pPr>
          </w:p>
          <w:p>
            <w:pPr>
              <w:spacing w:before="120" w:after="120"/>
              <w:jc w:val="both"/>
              <w:rPr>
                <w:rFonts w:ascii="Arial" w:hAnsi="Arial" w:cs="Arial"/>
                <w:iCs/>
                <w:color w:val="002060"/>
              </w:rPr>
            </w:pPr>
          </w:p>
        </w:tc>
      </w:tr>
    </w:tbl>
    <w:p>
      <w:pPr>
        <w:spacing w:after="0"/>
        <w:rPr>
          <w:rFonts w:ascii="Arial" w:eastAsia="Times New Roman" w:hAnsi="Arial" w:cs="Arial"/>
          <w:lang w:eastAsia="fr-FR"/>
        </w:rPr>
      </w:pPr>
    </w:p>
    <w:p>
      <w:pPr>
        <w:spacing w:after="0"/>
        <w:rPr>
          <w:rFonts w:ascii="Arial" w:eastAsia="Times New Roman" w:hAnsi="Arial" w:cs="Arial"/>
          <w:b/>
        </w:rPr>
      </w:pPr>
    </w:p>
    <w:sectPr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arianne">
    <w:altName w:val="Marianne"/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8"/>
        <w:szCs w:val="18"/>
      </w:rPr>
      <w:id w:val="-943378320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Content>
          <w:p>
            <w:pPr>
              <w:pStyle w:val="Pieddepag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Page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3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sur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AF41F3"/>
    <w:multiLevelType w:val="hybridMultilevel"/>
    <w:tmpl w:val="23EC822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E81262"/>
    <w:multiLevelType w:val="hybridMultilevel"/>
    <w:tmpl w:val="7994832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6ADD66FD"/>
    <w:multiLevelType w:val="hybridMultilevel"/>
    <w:tmpl w:val="E092FFD6"/>
    <w:lvl w:ilvl="0" w:tplc="E31A072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B76D66"/>
    <w:multiLevelType w:val="hybridMultilevel"/>
    <w:tmpl w:val="4322EE5C"/>
    <w:lvl w:ilvl="0" w:tplc="CB46E29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57298B-187A-4A2A-AF7C-D1E109025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western">
    <w:name w:val="western"/>
    <w:basedOn w:val="Normal"/>
    <w:pPr>
      <w:spacing w:before="57" w:after="0" w:line="240" w:lineRule="auto"/>
      <w:jc w:val="both"/>
    </w:pPr>
    <w:rPr>
      <w:rFonts w:ascii="Arial" w:eastAsia="Times New Roman" w:hAnsi="Arial" w:cs="Arial"/>
      <w:sz w:val="20"/>
      <w:szCs w:val="20"/>
      <w:lang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  <w:sz w:val="20"/>
      <w:szCs w:val="20"/>
    </w:rPr>
  </w:style>
  <w:style w:type="table" w:styleId="Grilledutableau">
    <w:name w:val="Table Grid"/>
    <w:basedOn w:val="Tableau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-Rapports">
    <w:name w:val="m-Rapports"/>
    <w:basedOn w:val="Normal"/>
    <w:pPr>
      <w:suppressAutoHyphens/>
      <w:autoSpaceDN w:val="0"/>
      <w:spacing w:after="200" w:line="276" w:lineRule="auto"/>
      <w:ind w:left="1984"/>
    </w:pPr>
    <w:rPr>
      <w:rFonts w:ascii="Liberation Sans" w:eastAsia="Liberation Sans" w:hAnsi="Liberation Sans" w:cs="Liberation Sans"/>
      <w:b/>
      <w:kern w:val="3"/>
      <w:sz w:val="36"/>
      <w:szCs w:val="20"/>
      <w:lang w:eastAsia="fr-FR"/>
    </w:rPr>
  </w:style>
  <w:style w:type="paragraph" w:customStyle="1" w:styleId="Standarduser">
    <w:name w:val="Standard (user)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Calibri"/>
      <w:kern w:val="3"/>
    </w:rPr>
  </w:style>
  <w:style w:type="character" w:styleId="Textedelespacerserv">
    <w:name w:val="Placeholder Text"/>
    <w:basedOn w:val="Policepardfaut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57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png@01DB307A.9C61F39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4</Pages>
  <Words>592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Secrétariat Général</Company>
  <LinksUpToDate>false</LinksUpToDate>
  <CharactersWithSpaces>3841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GIGOT Sonia</dc:creator>
  <cp:keywords/>
  <dc:description/>
  <cp:lastModifiedBy>DHEILLY Nathalie</cp:lastModifiedBy>
  <cp:revision>29</cp:revision>
  <cp:lastPrinted>2025-04-24T09:02:00Z</cp:lastPrinted>
  <dcterms:created xsi:type="dcterms:W3CDTF">2026-02-20T09:21:00Z</dcterms:created>
  <dcterms:modified xsi:type="dcterms:W3CDTF">2026-05-28T08:37:00Z</dcterms:modified>
</cp:coreProperties>
</file>